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0DF" w:rsidRDefault="00671ACE">
      <w:pPr>
        <w:rPr>
          <w:b/>
          <w:color w:val="FF0000"/>
          <w:sz w:val="72"/>
          <w:szCs w:val="72"/>
        </w:rPr>
      </w:pPr>
      <w:r w:rsidRPr="00671ACE">
        <w:rPr>
          <w:b/>
          <w:color w:val="FF0000"/>
          <w:sz w:val="72"/>
          <w:szCs w:val="72"/>
        </w:rPr>
        <w:t>Trabajo del Arte y la Guerra</w:t>
      </w:r>
    </w:p>
    <w:p w:rsidR="00671ACE" w:rsidRDefault="00671ACE" w:rsidP="00671ACE">
      <w:pPr>
        <w:jc w:val="right"/>
        <w:rPr>
          <w:sz w:val="20"/>
          <w:szCs w:val="20"/>
        </w:rPr>
      </w:pPr>
      <w:r>
        <w:rPr>
          <w:sz w:val="20"/>
          <w:szCs w:val="20"/>
        </w:rPr>
        <w:t>Nuria Alcalá y María Gallardo</w:t>
      </w:r>
    </w:p>
    <w:p w:rsidR="00671ACE" w:rsidRPr="002F19F9" w:rsidRDefault="00671ACE" w:rsidP="00671ACE">
      <w:pPr>
        <w:rPr>
          <w:b/>
          <w:i/>
          <w:color w:val="4F81BD" w:themeColor="accent1"/>
          <w:sz w:val="32"/>
          <w:szCs w:val="32"/>
        </w:rPr>
      </w:pPr>
      <w:r w:rsidRPr="002F19F9">
        <w:rPr>
          <w:b/>
          <w:i/>
          <w:color w:val="4F81BD" w:themeColor="accent1"/>
          <w:sz w:val="32"/>
          <w:szCs w:val="32"/>
        </w:rPr>
        <w:t>La Venus del Espejo</w:t>
      </w:r>
    </w:p>
    <w:p w:rsidR="00827A09" w:rsidRPr="00671ACE" w:rsidRDefault="00827A09" w:rsidP="00671ACE">
      <w:pPr>
        <w:rPr>
          <w:b/>
          <w:i/>
          <w:color w:val="1F497D" w:themeColor="text2"/>
          <w:sz w:val="32"/>
          <w:szCs w:val="32"/>
        </w:rPr>
      </w:pPr>
      <w:r>
        <w:rPr>
          <w:rFonts w:ascii="Arial" w:hAnsi="Arial" w:cs="Arial"/>
          <w:noProof/>
          <w:color w:val="000000"/>
          <w:sz w:val="20"/>
          <w:szCs w:val="20"/>
          <w:lang w:eastAsia="es-ES"/>
        </w:rPr>
        <w:drawing>
          <wp:inline distT="0" distB="0" distL="0" distR="0">
            <wp:extent cx="5400040" cy="3700448"/>
            <wp:effectExtent l="19050" t="0" r="0" b="0"/>
            <wp:docPr id="1" name="Imagen 1" descr="velazquezvenusdelespej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elazquezvenusdelespejo.jpg"/>
                    <pic:cNvPicPr>
                      <a:picLocks noChangeAspect="1" noChangeArrowheads="1"/>
                    </pic:cNvPicPr>
                  </pic:nvPicPr>
                  <pic:blipFill>
                    <a:blip r:embed="rId6" cstate="print"/>
                    <a:srcRect/>
                    <a:stretch>
                      <a:fillRect/>
                    </a:stretch>
                  </pic:blipFill>
                  <pic:spPr bwMode="auto">
                    <a:xfrm>
                      <a:off x="0" y="0"/>
                      <a:ext cx="5400040" cy="3700448"/>
                    </a:xfrm>
                    <a:prstGeom prst="rect">
                      <a:avLst/>
                    </a:prstGeom>
                    <a:noFill/>
                    <a:ln w="9525">
                      <a:noFill/>
                      <a:miter lim="800000"/>
                      <a:headEnd/>
                      <a:tailEnd/>
                    </a:ln>
                  </pic:spPr>
                </pic:pic>
              </a:graphicData>
            </a:graphic>
          </wp:inline>
        </w:drawing>
      </w:r>
    </w:p>
    <w:p w:rsidR="00671ACE" w:rsidRPr="00671ACE" w:rsidRDefault="00671ACE" w:rsidP="00671ACE">
      <w:pPr>
        <w:pStyle w:val="Prrafodelista"/>
        <w:numPr>
          <w:ilvl w:val="0"/>
          <w:numId w:val="1"/>
        </w:numPr>
        <w:rPr>
          <w:b/>
        </w:rPr>
      </w:pPr>
      <w:r w:rsidRPr="00671ACE">
        <w:rPr>
          <w:b/>
        </w:rPr>
        <w:t>Autor</w:t>
      </w:r>
    </w:p>
    <w:p w:rsidR="00671ACE" w:rsidRDefault="00671ACE" w:rsidP="00671ACE">
      <w:r w:rsidRPr="005E0D9E">
        <w:rPr>
          <w:u w:val="single"/>
        </w:rPr>
        <w:t>Nombre</w:t>
      </w:r>
      <w:r>
        <w:t>: Diego Rodríguez de Silva y Velázquez.</w:t>
      </w:r>
    </w:p>
    <w:p w:rsidR="005E0D9E" w:rsidRDefault="00827A09" w:rsidP="00671ACE">
      <w:r>
        <w:rPr>
          <w:u w:val="single"/>
        </w:rPr>
        <w:t>Fecha de n</w:t>
      </w:r>
      <w:r w:rsidR="005E0D9E" w:rsidRPr="005E0D9E">
        <w:rPr>
          <w:u w:val="single"/>
        </w:rPr>
        <w:t>acimiento</w:t>
      </w:r>
      <w:r w:rsidR="005E0D9E">
        <w:t>: 5 de Junio de 1599, en Sevilla.</w:t>
      </w:r>
    </w:p>
    <w:p w:rsidR="00827A09" w:rsidRDefault="005E0D9E" w:rsidP="00827A09">
      <w:r w:rsidRPr="005E0D9E">
        <w:rPr>
          <w:u w:val="single"/>
        </w:rPr>
        <w:t>Fecha de muerte</w:t>
      </w:r>
      <w:r>
        <w:t>: 6 de Agosto de 1660, en Madrid.</w:t>
      </w:r>
    </w:p>
    <w:p w:rsidR="005E0D9E" w:rsidRDefault="005E0D9E" w:rsidP="00827A09">
      <w:r w:rsidRPr="005E0D9E">
        <w:rPr>
          <w:u w:val="single"/>
        </w:rPr>
        <w:t>Estilo</w:t>
      </w:r>
      <w:r>
        <w:t xml:space="preserve">: </w:t>
      </w:r>
      <w:r w:rsidRPr="00827A09">
        <w:t xml:space="preserve">Fue un pintor </w:t>
      </w:r>
      <w:hyperlink r:id="rId7" w:history="1">
        <w:r w:rsidRPr="00827A09">
          <w:rPr>
            <w:rStyle w:val="Hipervnculo"/>
            <w:color w:val="auto"/>
            <w:u w:val="none"/>
          </w:rPr>
          <w:t>barroco</w:t>
        </w:r>
      </w:hyperlink>
      <w:r w:rsidRPr="00827A09">
        <w:t xml:space="preserve">, considerado uno de los máximos exponentes de la </w:t>
      </w:r>
      <w:hyperlink r:id="rId8" w:tooltip="Pintura española" w:history="1">
        <w:r w:rsidRPr="00827A09">
          <w:rPr>
            <w:rStyle w:val="Hipervnculo"/>
            <w:color w:val="auto"/>
            <w:u w:val="none"/>
          </w:rPr>
          <w:t>pintura española</w:t>
        </w:r>
      </w:hyperlink>
      <w:r w:rsidRPr="00827A09">
        <w:t xml:space="preserve"> y maestro de la pintura universal.</w:t>
      </w:r>
    </w:p>
    <w:p w:rsidR="00827A09" w:rsidRDefault="00827A09" w:rsidP="00827A09">
      <w:pPr>
        <w:pStyle w:val="Prrafodelista"/>
        <w:numPr>
          <w:ilvl w:val="0"/>
          <w:numId w:val="1"/>
        </w:numPr>
        <w:rPr>
          <w:b/>
        </w:rPr>
      </w:pPr>
      <w:r w:rsidRPr="00827A09">
        <w:rPr>
          <w:b/>
        </w:rPr>
        <w:t>Obra</w:t>
      </w:r>
    </w:p>
    <w:p w:rsidR="00827A09" w:rsidRDefault="00827A09" w:rsidP="00827A09">
      <w:r w:rsidRPr="00827A09">
        <w:rPr>
          <w:u w:val="single"/>
        </w:rPr>
        <w:t>Nombre</w:t>
      </w:r>
      <w:r>
        <w:t>: La Venus del Espejo</w:t>
      </w:r>
    </w:p>
    <w:p w:rsidR="008E42F8" w:rsidRDefault="00827A09" w:rsidP="00827A09">
      <w:r>
        <w:rPr>
          <w:u w:val="single"/>
        </w:rPr>
        <w:t xml:space="preserve">Escena </w:t>
      </w:r>
      <w:r w:rsidR="008E42F8">
        <w:rPr>
          <w:u w:val="single"/>
        </w:rPr>
        <w:t xml:space="preserve">y significado </w:t>
      </w:r>
      <w:r>
        <w:rPr>
          <w:u w:val="single"/>
        </w:rPr>
        <w:t>que r</w:t>
      </w:r>
      <w:r w:rsidRPr="00827A09">
        <w:rPr>
          <w:u w:val="single"/>
        </w:rPr>
        <w:t>epresent</w:t>
      </w:r>
      <w:r>
        <w:rPr>
          <w:u w:val="single"/>
        </w:rPr>
        <w:t>a</w:t>
      </w:r>
      <w:r>
        <w:t xml:space="preserve">: </w:t>
      </w:r>
      <w:r w:rsidR="00EC5CE3" w:rsidRPr="008E42F8">
        <w:t xml:space="preserve">La obra representa a la diosa </w:t>
      </w:r>
      <w:hyperlink r:id="rId9" w:tooltip="Venus (mitología)" w:history="1">
        <w:r w:rsidR="00EC5CE3" w:rsidRPr="008E42F8">
          <w:rPr>
            <w:rStyle w:val="Hipervnculo"/>
            <w:color w:val="auto"/>
            <w:u w:val="none"/>
          </w:rPr>
          <w:t>Venus</w:t>
        </w:r>
      </w:hyperlink>
      <w:r w:rsidR="00EC5CE3" w:rsidRPr="008E42F8">
        <w:t xml:space="preserve"> en una pose erótica, tumbada sobre una cama y mirando a un espejo </w:t>
      </w:r>
      <w:r w:rsidR="008E42F8" w:rsidRPr="008E42F8">
        <w:t>con el que se acerca al espectador observándolo. Este es  sostenido por</w:t>
      </w:r>
      <w:r w:rsidR="00EC5CE3" w:rsidRPr="008E42F8">
        <w:t xml:space="preserve"> el dios del amor sensual, su hijo </w:t>
      </w:r>
      <w:hyperlink r:id="rId10" w:history="1">
        <w:r w:rsidR="00EC5CE3" w:rsidRPr="008E42F8">
          <w:rPr>
            <w:rStyle w:val="Hipervnculo"/>
            <w:color w:val="auto"/>
            <w:u w:val="none"/>
          </w:rPr>
          <w:t>Cupido</w:t>
        </w:r>
      </w:hyperlink>
      <w:r w:rsidR="008E42F8" w:rsidRPr="008E42F8">
        <w:t xml:space="preserve">, que lleva en sus manos una cinta rosa. </w:t>
      </w:r>
      <w:r w:rsidR="008E42F8" w:rsidRPr="008E42F8">
        <w:br/>
      </w:r>
      <w:r w:rsidR="00EC5CE3" w:rsidRPr="008E42F8">
        <w:t xml:space="preserve">Se trata de un tema </w:t>
      </w:r>
      <w:hyperlink r:id="rId11" w:tooltip="Mitología" w:history="1">
        <w:r w:rsidR="00EC5CE3" w:rsidRPr="008E42F8">
          <w:rPr>
            <w:rStyle w:val="Hipervnculo"/>
            <w:color w:val="auto"/>
            <w:u w:val="none"/>
          </w:rPr>
          <w:t>mitológico</w:t>
        </w:r>
      </w:hyperlink>
      <w:r w:rsidR="00EC5CE3" w:rsidRPr="008E42F8">
        <w:t xml:space="preserve"> al que Velázquez, como es usual en él, da trato mundano. No </w:t>
      </w:r>
      <w:r w:rsidR="00EC5CE3" w:rsidRPr="008E42F8">
        <w:lastRenderedPageBreak/>
        <w:t>trata a la figura como a una diosa sino, simplemente, como a una mujer</w:t>
      </w:r>
      <w:r w:rsidR="008E42F8" w:rsidRPr="008E42F8">
        <w:t>. Su rostro difuminado le quita importancia a la belleza. Incluso se ha llegado a especular que se trate de una mujer vulgar y no una diosa.</w:t>
      </w:r>
      <w:r w:rsidR="008E42F8" w:rsidRPr="008E42F8">
        <w:br/>
        <w:t>Encontramos un contraste de colores entre los tonos luminiscentes de la piel de Venus y los tonos oscuros de la sabana y la pared.</w:t>
      </w:r>
    </w:p>
    <w:p w:rsidR="003B30EC" w:rsidRDefault="003B30EC" w:rsidP="00827A09">
      <w:r w:rsidRPr="003B30EC">
        <w:rPr>
          <w:u w:val="single"/>
        </w:rPr>
        <w:t>Donde está y por qué:</w:t>
      </w:r>
      <w:r>
        <w:t xml:space="preserve"> </w:t>
      </w:r>
      <w:r w:rsidRPr="003B30EC">
        <w:t xml:space="preserve">Actualmente se encuentra en la </w:t>
      </w:r>
      <w:hyperlink r:id="rId12" w:history="1">
        <w:r w:rsidRPr="003B30EC">
          <w:rPr>
            <w:rStyle w:val="Hipervnculo"/>
            <w:color w:val="auto"/>
            <w:u w:val="none"/>
          </w:rPr>
          <w:t xml:space="preserve">National </w:t>
        </w:r>
        <w:proofErr w:type="spellStart"/>
        <w:r w:rsidRPr="003B30EC">
          <w:rPr>
            <w:rStyle w:val="Hipervnculo"/>
            <w:color w:val="auto"/>
            <w:u w:val="none"/>
          </w:rPr>
          <w:t>Gallery</w:t>
        </w:r>
        <w:proofErr w:type="spellEnd"/>
        <w:r w:rsidRPr="003B30EC">
          <w:rPr>
            <w:rStyle w:val="Hipervnculo"/>
            <w:color w:val="auto"/>
            <w:u w:val="none"/>
          </w:rPr>
          <w:t xml:space="preserve"> de Londres</w:t>
        </w:r>
      </w:hyperlink>
      <w:r>
        <w:t xml:space="preserve">, pertenecía a Godoy (primer Ministro de Carlos IV) y fue adquirida por John </w:t>
      </w:r>
      <w:proofErr w:type="spellStart"/>
      <w:r>
        <w:t>Morritt</w:t>
      </w:r>
      <w:proofErr w:type="spellEnd"/>
      <w:r>
        <w:t xml:space="preserve"> que más tarde la vendió al </w:t>
      </w:r>
      <w:hyperlink r:id="rId13" w:tooltip="The Art Fund (aún no redactado)" w:history="1">
        <w:r w:rsidRPr="003B30EC">
          <w:rPr>
            <w:rStyle w:val="Hipervnculo"/>
            <w:color w:val="auto"/>
            <w:u w:val="none"/>
          </w:rPr>
          <w:t>Fondo de las Colecciones de Arte Nacionales</w:t>
        </w:r>
      </w:hyperlink>
      <w:r>
        <w:t>.</w:t>
      </w:r>
    </w:p>
    <w:p w:rsidR="000E5C96" w:rsidRDefault="000E5C96" w:rsidP="00827A09"/>
    <w:p w:rsidR="000E5C96" w:rsidRDefault="000E5C96" w:rsidP="00827A09">
      <w:pPr>
        <w:rPr>
          <w:b/>
          <w:i/>
          <w:color w:val="4F81BD" w:themeColor="accent1"/>
          <w:sz w:val="32"/>
          <w:szCs w:val="32"/>
        </w:rPr>
      </w:pPr>
      <w:r>
        <w:rPr>
          <w:b/>
          <w:i/>
          <w:color w:val="4F81BD" w:themeColor="accent1"/>
          <w:sz w:val="32"/>
          <w:szCs w:val="32"/>
        </w:rPr>
        <w:t xml:space="preserve">La Cocina de los </w:t>
      </w:r>
      <w:r w:rsidR="00663249">
        <w:rPr>
          <w:b/>
          <w:i/>
          <w:color w:val="4F81BD" w:themeColor="accent1"/>
          <w:sz w:val="32"/>
          <w:szCs w:val="32"/>
        </w:rPr>
        <w:t>Ángeles</w:t>
      </w:r>
    </w:p>
    <w:p w:rsidR="000E5C96" w:rsidRPr="000E5C96" w:rsidRDefault="000E5C96" w:rsidP="00827A09">
      <w:pPr>
        <w:rPr>
          <w:b/>
          <w:i/>
          <w:color w:val="4F81BD" w:themeColor="accent1"/>
          <w:sz w:val="32"/>
          <w:szCs w:val="32"/>
        </w:rPr>
      </w:pPr>
      <w:r>
        <w:rPr>
          <w:rFonts w:ascii="Arial" w:hAnsi="Arial" w:cs="Arial"/>
          <w:noProof/>
          <w:color w:val="000000"/>
          <w:sz w:val="20"/>
          <w:szCs w:val="20"/>
          <w:lang w:eastAsia="es-ES"/>
        </w:rPr>
        <w:drawing>
          <wp:inline distT="0" distB="0" distL="0" distR="0">
            <wp:extent cx="5400040" cy="2151016"/>
            <wp:effectExtent l="19050" t="0" r="0" b="0"/>
            <wp:docPr id="2" name="Imagen 1" descr="murillo.thumbn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urillo.thumbnail.jpg"/>
                    <pic:cNvPicPr>
                      <a:picLocks noChangeAspect="1" noChangeArrowheads="1"/>
                    </pic:cNvPicPr>
                  </pic:nvPicPr>
                  <pic:blipFill>
                    <a:blip r:embed="rId14" cstate="print"/>
                    <a:srcRect/>
                    <a:stretch>
                      <a:fillRect/>
                    </a:stretch>
                  </pic:blipFill>
                  <pic:spPr bwMode="auto">
                    <a:xfrm>
                      <a:off x="0" y="0"/>
                      <a:ext cx="5400040" cy="2151016"/>
                    </a:xfrm>
                    <a:prstGeom prst="rect">
                      <a:avLst/>
                    </a:prstGeom>
                    <a:noFill/>
                    <a:ln w="9525">
                      <a:noFill/>
                      <a:miter lim="800000"/>
                      <a:headEnd/>
                      <a:tailEnd/>
                    </a:ln>
                  </pic:spPr>
                </pic:pic>
              </a:graphicData>
            </a:graphic>
          </wp:inline>
        </w:drawing>
      </w:r>
    </w:p>
    <w:p w:rsidR="00620B07" w:rsidRPr="00671ACE" w:rsidRDefault="00620B07" w:rsidP="00620B07">
      <w:pPr>
        <w:pStyle w:val="Prrafodelista"/>
        <w:numPr>
          <w:ilvl w:val="0"/>
          <w:numId w:val="1"/>
        </w:numPr>
        <w:rPr>
          <w:b/>
        </w:rPr>
      </w:pPr>
      <w:r w:rsidRPr="00671ACE">
        <w:rPr>
          <w:b/>
        </w:rPr>
        <w:t>Autor</w:t>
      </w:r>
    </w:p>
    <w:p w:rsidR="00620B07" w:rsidRDefault="00620B07" w:rsidP="00620B07">
      <w:r w:rsidRPr="005E0D9E">
        <w:rPr>
          <w:u w:val="single"/>
        </w:rPr>
        <w:t>Nombre</w:t>
      </w:r>
      <w:r>
        <w:t>: Bartolomé Esteban Murillo.</w:t>
      </w:r>
    </w:p>
    <w:p w:rsidR="00620B07" w:rsidRDefault="00620B07" w:rsidP="00620B07">
      <w:r>
        <w:rPr>
          <w:u w:val="single"/>
        </w:rPr>
        <w:t>Fecha de n</w:t>
      </w:r>
      <w:r w:rsidRPr="005E0D9E">
        <w:rPr>
          <w:u w:val="single"/>
        </w:rPr>
        <w:t>acimiento</w:t>
      </w:r>
      <w:r>
        <w:t>: 31 de Diciembre de 1617, Sevilla.</w:t>
      </w:r>
    </w:p>
    <w:p w:rsidR="00620B07" w:rsidRPr="00620B07" w:rsidRDefault="00620B07" w:rsidP="00620B07">
      <w:r w:rsidRPr="005E0D9E">
        <w:rPr>
          <w:u w:val="single"/>
        </w:rPr>
        <w:t>Fecha de mue</w:t>
      </w:r>
      <w:r>
        <w:rPr>
          <w:u w:val="single"/>
        </w:rPr>
        <w:t xml:space="preserve">rte: </w:t>
      </w:r>
      <w:r>
        <w:t>3 de Abril de 1682, Cádiz.</w:t>
      </w:r>
    </w:p>
    <w:p w:rsidR="00620B07" w:rsidRDefault="00620B07" w:rsidP="00620B07">
      <w:r w:rsidRPr="005E0D9E">
        <w:rPr>
          <w:u w:val="single"/>
        </w:rPr>
        <w:t>Estilo</w:t>
      </w:r>
      <w:r>
        <w:t>: Es una de las figuras más importantes de la pintura barroca española.</w:t>
      </w:r>
    </w:p>
    <w:p w:rsidR="00620B07" w:rsidRPr="00620B07" w:rsidRDefault="00620B07" w:rsidP="00620B07">
      <w:pPr>
        <w:pStyle w:val="Prrafodelista"/>
        <w:numPr>
          <w:ilvl w:val="0"/>
          <w:numId w:val="1"/>
        </w:numPr>
        <w:rPr>
          <w:b/>
        </w:rPr>
      </w:pPr>
      <w:r w:rsidRPr="00620B07">
        <w:rPr>
          <w:b/>
        </w:rPr>
        <w:t>Obra</w:t>
      </w:r>
    </w:p>
    <w:p w:rsidR="00620B07" w:rsidRDefault="00620B07" w:rsidP="00620B07">
      <w:r w:rsidRPr="00827A09">
        <w:rPr>
          <w:u w:val="single"/>
        </w:rPr>
        <w:t>Nombre</w:t>
      </w:r>
      <w:r>
        <w:t>: La Cocina de los Ángeles.</w:t>
      </w:r>
    </w:p>
    <w:p w:rsidR="00620B07" w:rsidRDefault="00620B07" w:rsidP="00620B07">
      <w:r>
        <w:rPr>
          <w:u w:val="single"/>
        </w:rPr>
        <w:t>Escena y significado que r</w:t>
      </w:r>
      <w:r w:rsidRPr="00827A09">
        <w:rPr>
          <w:u w:val="single"/>
        </w:rPr>
        <w:t>epresent</w:t>
      </w:r>
      <w:r>
        <w:rPr>
          <w:u w:val="single"/>
        </w:rPr>
        <w:t>a</w:t>
      </w:r>
      <w:r>
        <w:t xml:space="preserve">: </w:t>
      </w:r>
      <w:r w:rsidR="00BE5DBE">
        <w:t>podemos ver  un episodio de la vida de Fray Francisco Pérez, un fraile cocinero en el que se refleja  el éxtasis que el fraile sentía  en lugar de realizar sus trabajos. Como recompensa fueron  enviados un grupo de ángeles para realizar las tareas que el fraile no hacía. El centro de la escena lo ocupan dos ángeles que enmarcan al fraile, arrodillado y en levitación, rodeado de una aureola dorada. En el fondo aparece la puerta abierta y un fraile que contempla el milagro: diversos ángeles están realizando trabajo de cocina, repartidos de forma que crean una mayor sensación de profundidad.</w:t>
      </w:r>
    </w:p>
    <w:p w:rsidR="00BD4F66" w:rsidRDefault="00620B07" w:rsidP="00620B07">
      <w:r w:rsidRPr="003B30EC">
        <w:rPr>
          <w:u w:val="single"/>
        </w:rPr>
        <w:t>Donde está y por qué:</w:t>
      </w:r>
      <w:r>
        <w:t xml:space="preserve"> </w:t>
      </w:r>
      <w:r w:rsidR="00BE5DBE">
        <w:t>Actualmente la obra se encuentra en el Museo del Louvre de París.</w:t>
      </w:r>
    </w:p>
    <w:p w:rsidR="00BD4F66" w:rsidRDefault="002F19F9" w:rsidP="00620B07">
      <w:pPr>
        <w:rPr>
          <w:b/>
          <w:i/>
          <w:color w:val="4F81BD" w:themeColor="accent1"/>
          <w:sz w:val="32"/>
          <w:szCs w:val="32"/>
        </w:rPr>
      </w:pPr>
      <w:r>
        <w:rPr>
          <w:b/>
          <w:i/>
          <w:color w:val="4F81BD" w:themeColor="accent1"/>
          <w:sz w:val="32"/>
          <w:szCs w:val="32"/>
        </w:rPr>
        <w:lastRenderedPageBreak/>
        <w:t>Reflexión</w:t>
      </w:r>
    </w:p>
    <w:p w:rsidR="00663249" w:rsidRDefault="00BD4F66" w:rsidP="00620B07">
      <w:r>
        <w:t xml:space="preserve">Debemos de proteger el patrimonio artístico ya que con él podemos conocer los distintos movimientos artísticos de las diferentes épocas, momentos importantes de la historia, las corrientes filosóficas </w:t>
      </w:r>
      <w:r w:rsidR="00BE5DBE">
        <w:t xml:space="preserve"> </w:t>
      </w:r>
      <w:r>
        <w:t>del momento, las costumbres de la sociedad, etc.</w:t>
      </w:r>
      <w:r>
        <w:br/>
        <w:t>Por otro lado, debemos respetar el patrimonio de otros pueblos ya que forma parte de su cultura, de su historia y, probablemente, sea  el lugar de procedencia de los autores. Además, dichas obras pueden representar los momentos más importantes del lugar al que pertenecen.</w:t>
      </w:r>
      <w:r w:rsidR="00663249">
        <w:t xml:space="preserve"> </w:t>
      </w:r>
      <w:r w:rsidR="00663249">
        <w:br/>
        <w:t>También las obras han sido en muchas ocasiones el medio por  el cual el pueblo ha sido consciente de la situación de ese momento.</w:t>
      </w:r>
      <w:r w:rsidR="00663249">
        <w:br/>
        <w:t>Por  todo ello debemos respetar el patrimonio artístico de cada lugar y disfrutar de los conocimientos que, a través de él, podemos adquirir.</w:t>
      </w:r>
    </w:p>
    <w:p w:rsidR="000E5C96" w:rsidRPr="000E5C96" w:rsidRDefault="000E5C96" w:rsidP="00827A09">
      <w:pPr>
        <w:rPr>
          <w:i/>
        </w:rPr>
      </w:pPr>
    </w:p>
    <w:p w:rsidR="008E42F8" w:rsidRPr="003B30EC" w:rsidRDefault="008E42F8" w:rsidP="00827A09"/>
    <w:p w:rsidR="005E0D9E" w:rsidRPr="005E0D9E" w:rsidRDefault="005E0D9E" w:rsidP="00671ACE"/>
    <w:p w:rsidR="00671ACE" w:rsidRPr="005E0D9E" w:rsidRDefault="00671ACE" w:rsidP="00671ACE">
      <w:r w:rsidRPr="005E0D9E">
        <w:rPr>
          <w:u w:val="single"/>
        </w:rPr>
        <w:t xml:space="preserve"> </w:t>
      </w:r>
    </w:p>
    <w:sectPr w:rsidR="00671ACE" w:rsidRPr="005E0D9E" w:rsidSect="00A440DF">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396281"/>
    <w:multiLevelType w:val="hybridMultilevel"/>
    <w:tmpl w:val="59A8ED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671ACE"/>
    <w:rsid w:val="000957F8"/>
    <w:rsid w:val="000E5C96"/>
    <w:rsid w:val="002F19F9"/>
    <w:rsid w:val="003B30EC"/>
    <w:rsid w:val="003D6847"/>
    <w:rsid w:val="005E0D9E"/>
    <w:rsid w:val="00620B07"/>
    <w:rsid w:val="00663249"/>
    <w:rsid w:val="00671ACE"/>
    <w:rsid w:val="00827A09"/>
    <w:rsid w:val="008E42F8"/>
    <w:rsid w:val="00A440DF"/>
    <w:rsid w:val="00BD0850"/>
    <w:rsid w:val="00BD4F66"/>
    <w:rsid w:val="00BE5DBE"/>
    <w:rsid w:val="00EC5CE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0D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71ACE"/>
    <w:pPr>
      <w:ind w:left="720"/>
      <w:contextualSpacing/>
    </w:pPr>
  </w:style>
  <w:style w:type="character" w:styleId="Hipervnculo">
    <w:name w:val="Hyperlink"/>
    <w:basedOn w:val="Fuentedeprrafopredeter"/>
    <w:uiPriority w:val="99"/>
    <w:semiHidden/>
    <w:unhideWhenUsed/>
    <w:rsid w:val="005E0D9E"/>
    <w:rPr>
      <w:color w:val="0000FF"/>
      <w:u w:val="single"/>
    </w:rPr>
  </w:style>
  <w:style w:type="paragraph" w:styleId="NormalWeb">
    <w:name w:val="Normal (Web)"/>
    <w:basedOn w:val="Normal"/>
    <w:uiPriority w:val="99"/>
    <w:semiHidden/>
    <w:unhideWhenUsed/>
    <w:rsid w:val="005E0D9E"/>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827A0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27A0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86054363">
      <w:bodyDiv w:val="1"/>
      <w:marLeft w:val="0"/>
      <w:marRight w:val="0"/>
      <w:marTop w:val="0"/>
      <w:marBottom w:val="0"/>
      <w:divBdr>
        <w:top w:val="none" w:sz="0" w:space="0" w:color="auto"/>
        <w:left w:val="none" w:sz="0" w:space="0" w:color="auto"/>
        <w:bottom w:val="none" w:sz="0" w:space="0" w:color="auto"/>
        <w:right w:val="none" w:sz="0" w:space="0" w:color="auto"/>
      </w:divBdr>
      <w:divsChild>
        <w:div w:id="272975653">
          <w:marLeft w:val="0"/>
          <w:marRight w:val="0"/>
          <w:marTop w:val="0"/>
          <w:marBottom w:val="0"/>
          <w:divBdr>
            <w:top w:val="none" w:sz="0" w:space="0" w:color="auto"/>
            <w:left w:val="none" w:sz="0" w:space="0" w:color="auto"/>
            <w:bottom w:val="none" w:sz="0" w:space="0" w:color="auto"/>
            <w:right w:val="none" w:sz="0" w:space="0" w:color="auto"/>
          </w:divBdr>
          <w:divsChild>
            <w:div w:id="210117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Pintura_espa%C3%B1ola" TargetMode="External"/><Relationship Id="rId13" Type="http://schemas.openxmlformats.org/officeDocument/2006/relationships/hyperlink" Target="http://es.wikipedia.org/w/index.php?title=The_Art_Fund&amp;action=edit&amp;redlink=1" TargetMode="External"/><Relationship Id="rId3" Type="http://schemas.openxmlformats.org/officeDocument/2006/relationships/styles" Target="styles.xml"/><Relationship Id="rId7" Type="http://schemas.openxmlformats.org/officeDocument/2006/relationships/hyperlink" Target="http://es.wikipedia.org/wiki/Barroco" TargetMode="External"/><Relationship Id="rId12" Type="http://schemas.openxmlformats.org/officeDocument/2006/relationships/hyperlink" Target="http://es.wikipedia.org/wiki/National_Gallery_de_Londre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es.wikipedia.org/wiki/Mitolog%C3%AD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s.wikipedia.org/wiki/Cupido" TargetMode="External"/><Relationship Id="rId4" Type="http://schemas.openxmlformats.org/officeDocument/2006/relationships/settings" Target="settings.xml"/><Relationship Id="rId9" Type="http://schemas.openxmlformats.org/officeDocument/2006/relationships/hyperlink" Target="http://es.wikipedia.org/wiki/Venus_(mitolog%C3%ADa)" TargetMode="External"/><Relationship Id="rId14"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06C3A-46C3-46AE-81D2-B7563510A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3</Pages>
  <Words>573</Words>
  <Characters>3156</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María</dc:creator>
  <cp:keywords/>
  <dc:description/>
  <cp:lastModifiedBy>María</cp:lastModifiedBy>
  <cp:revision>3</cp:revision>
  <dcterms:created xsi:type="dcterms:W3CDTF">2011-02-20T18:37:00Z</dcterms:created>
  <dcterms:modified xsi:type="dcterms:W3CDTF">2011-03-01T14:52:00Z</dcterms:modified>
</cp:coreProperties>
</file>